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0F" w:rsidRDefault="0090490F" w:rsidP="0090490F">
      <w:pPr>
        <w:jc w:val="both"/>
        <w:rPr>
          <w:rFonts w:ascii="Arial" w:hAnsi="Arial" w:cs="Arial"/>
          <w:b/>
          <w:sz w:val="22"/>
          <w:szCs w:val="22"/>
        </w:rPr>
      </w:pPr>
      <w:r w:rsidRPr="00EC362E">
        <w:rPr>
          <w:rFonts w:ascii="Arial" w:hAnsi="Arial" w:cs="Arial"/>
          <w:b/>
          <w:sz w:val="22"/>
          <w:szCs w:val="22"/>
        </w:rPr>
        <w:t>IZVAJANJE TURISTIČNIH, ŠPORTNIH IN REKREACIJSKIH DEJAVNOSTI NA VODOTOKIH IN STOJEČIH VODAH NA OBMOČJU TRIGLAVSKEGA NARODNEGA PARKA</w:t>
      </w:r>
    </w:p>
    <w:p w:rsidR="0090490F" w:rsidRDefault="0090490F" w:rsidP="0090490F">
      <w:pPr>
        <w:jc w:val="both"/>
        <w:rPr>
          <w:rFonts w:ascii="Arial" w:hAnsi="Arial" w:cs="Arial"/>
          <w:b/>
          <w:sz w:val="22"/>
          <w:szCs w:val="22"/>
        </w:rPr>
      </w:pPr>
    </w:p>
    <w:p w:rsidR="0090490F" w:rsidRDefault="0090490F" w:rsidP="0090490F">
      <w:pPr>
        <w:jc w:val="both"/>
        <w:rPr>
          <w:rFonts w:ascii="Arial" w:hAnsi="Arial" w:cs="Arial"/>
          <w:b/>
          <w:sz w:val="22"/>
          <w:szCs w:val="22"/>
        </w:rPr>
      </w:pPr>
    </w:p>
    <w:p w:rsidR="0090490F" w:rsidRDefault="0090490F" w:rsidP="0090490F">
      <w:pPr>
        <w:jc w:val="both"/>
        <w:rPr>
          <w:rFonts w:ascii="Arial" w:hAnsi="Arial" w:cs="Arial"/>
          <w:b/>
          <w:sz w:val="22"/>
          <w:szCs w:val="22"/>
        </w:rPr>
      </w:pPr>
      <w:r>
        <w:rPr>
          <w:rFonts w:ascii="Arial" w:hAnsi="Arial" w:cs="Arial"/>
          <w:b/>
          <w:sz w:val="22"/>
          <w:szCs w:val="22"/>
        </w:rPr>
        <w:t>Uvod</w:t>
      </w:r>
    </w:p>
    <w:p w:rsidR="0090490F" w:rsidRDefault="0090490F" w:rsidP="0090490F">
      <w:pPr>
        <w:jc w:val="both"/>
        <w:rPr>
          <w:rFonts w:ascii="Arial" w:hAnsi="Arial" w:cs="Arial"/>
          <w:b/>
          <w:sz w:val="22"/>
          <w:szCs w:val="22"/>
        </w:rPr>
      </w:pPr>
    </w:p>
    <w:p w:rsidR="0090490F" w:rsidRPr="00EC362E" w:rsidRDefault="0090490F" w:rsidP="0090490F">
      <w:pPr>
        <w:jc w:val="both"/>
        <w:rPr>
          <w:rFonts w:ascii="Arial" w:hAnsi="Arial" w:cs="Arial"/>
          <w:b/>
          <w:sz w:val="22"/>
          <w:szCs w:val="22"/>
        </w:rPr>
      </w:pPr>
      <w:r>
        <w:rPr>
          <w:rFonts w:ascii="Arial" w:hAnsi="Arial" w:cs="Arial"/>
          <w:sz w:val="22"/>
          <w:szCs w:val="22"/>
        </w:rPr>
        <w:t xml:space="preserve">V letu 2010 je bil sprejet nov </w:t>
      </w:r>
      <w:hyperlink r:id="rId6" w:history="1">
        <w:r w:rsidRPr="0090490F">
          <w:rPr>
            <w:rStyle w:val="Hiperpovezava"/>
            <w:rFonts w:ascii="Arial" w:hAnsi="Arial" w:cs="Arial"/>
            <w:b/>
            <w:color w:val="auto"/>
            <w:sz w:val="22"/>
            <w:szCs w:val="22"/>
          </w:rPr>
          <w:t>Zakon o Triglavskem narodnem parku</w:t>
        </w:r>
      </w:hyperlink>
      <w:r>
        <w:rPr>
          <w:rFonts w:ascii="Arial" w:hAnsi="Arial" w:cs="Arial"/>
          <w:sz w:val="22"/>
          <w:szCs w:val="22"/>
        </w:rPr>
        <w:t xml:space="preserve">, ki prinaša novosti tudi na področju </w:t>
      </w:r>
      <w:r w:rsidRPr="00EC362E">
        <w:rPr>
          <w:rFonts w:ascii="Arial" w:hAnsi="Arial" w:cs="Arial"/>
          <w:b/>
          <w:sz w:val="22"/>
          <w:szCs w:val="22"/>
        </w:rPr>
        <w:t>turističnih, športnih in rekreacijskih dejavnosti na vodotokih in stoječih vodah, ki niso ribolov po predpisih, ki urejajo sladkovodno ribištvo.</w:t>
      </w:r>
      <w:r>
        <w:rPr>
          <w:rFonts w:ascii="Arial" w:hAnsi="Arial" w:cs="Arial"/>
          <w:sz w:val="22"/>
          <w:szCs w:val="22"/>
        </w:rPr>
        <w:t xml:space="preserve"> Narodni park je na novo razdeljen na tri varstvena območja in številna ožja zavarovana območja, v katerih veljajo različni varstveni režimi, ki pomembno vplivajo tudi na izvajanje dejavnosti na vodotokih in stoječih vodah.</w:t>
      </w:r>
    </w:p>
    <w:p w:rsidR="0090490F" w:rsidRDefault="0090490F" w:rsidP="0090490F">
      <w:pPr>
        <w:jc w:val="both"/>
        <w:rPr>
          <w:rFonts w:ascii="Arial" w:hAnsi="Arial" w:cs="Arial"/>
          <w:sz w:val="22"/>
          <w:szCs w:val="22"/>
        </w:rPr>
      </w:pPr>
    </w:p>
    <w:p w:rsidR="0090490F" w:rsidRPr="0082440F" w:rsidRDefault="0090490F" w:rsidP="0090490F">
      <w:pPr>
        <w:ind w:firstLine="708"/>
        <w:jc w:val="both"/>
        <w:rPr>
          <w:rFonts w:ascii="Arial" w:hAnsi="Arial" w:cs="Arial"/>
          <w:b/>
          <w:sz w:val="20"/>
        </w:rPr>
      </w:pPr>
      <w:r w:rsidRPr="0082440F">
        <w:rPr>
          <w:rFonts w:ascii="Arial" w:hAnsi="Arial" w:cs="Arial"/>
          <w:b/>
          <w:sz w:val="20"/>
        </w:rPr>
        <w:t>Prvo in drugo varstveno območje narodnega parka</w:t>
      </w:r>
    </w:p>
    <w:p w:rsidR="0090490F" w:rsidRPr="0082440F" w:rsidRDefault="0090490F" w:rsidP="0090490F">
      <w:pPr>
        <w:ind w:left="708"/>
        <w:jc w:val="both"/>
        <w:rPr>
          <w:rFonts w:ascii="Arial" w:hAnsi="Arial" w:cs="Arial"/>
          <w:sz w:val="20"/>
        </w:rPr>
      </w:pPr>
      <w:r w:rsidRPr="0082440F">
        <w:rPr>
          <w:rFonts w:ascii="Arial" w:hAnsi="Arial" w:cs="Arial"/>
          <w:sz w:val="20"/>
        </w:rPr>
        <w:t xml:space="preserve">Kopanje, potapljanje, čolnarjenje in druge rekreacijske dejavnosti na jezerih in vodotokih so izrecno prepovedane v </w:t>
      </w:r>
      <w:r w:rsidRPr="0082440F">
        <w:rPr>
          <w:rFonts w:ascii="Arial" w:hAnsi="Arial" w:cs="Arial"/>
          <w:b/>
          <w:sz w:val="20"/>
        </w:rPr>
        <w:t>prvem in drugem varstvenem območju</w:t>
      </w:r>
      <w:r w:rsidRPr="0082440F">
        <w:rPr>
          <w:rFonts w:ascii="Arial" w:hAnsi="Arial" w:cs="Arial"/>
          <w:sz w:val="20"/>
        </w:rPr>
        <w:t xml:space="preserve">. Izjema v drugem varstvenem območju je območje Bohinjskega jezera z okolico, kjer je kopanje, potapljanje, drsanje, čolnarjenje in jadranje dovoljeno. </w:t>
      </w:r>
    </w:p>
    <w:p w:rsidR="0090490F" w:rsidRPr="0082440F" w:rsidRDefault="0090490F" w:rsidP="0090490F">
      <w:pPr>
        <w:jc w:val="both"/>
        <w:rPr>
          <w:rFonts w:ascii="Arial" w:hAnsi="Arial" w:cs="Arial"/>
          <w:sz w:val="20"/>
        </w:rPr>
      </w:pPr>
    </w:p>
    <w:p w:rsidR="0090490F" w:rsidRPr="0082440F" w:rsidRDefault="0090490F" w:rsidP="0090490F">
      <w:pPr>
        <w:ind w:firstLine="708"/>
        <w:jc w:val="both"/>
        <w:rPr>
          <w:rFonts w:ascii="Arial" w:hAnsi="Arial" w:cs="Arial"/>
          <w:b/>
          <w:sz w:val="20"/>
        </w:rPr>
      </w:pPr>
      <w:r w:rsidRPr="0082440F">
        <w:rPr>
          <w:rFonts w:ascii="Arial" w:hAnsi="Arial" w:cs="Arial"/>
          <w:b/>
          <w:sz w:val="20"/>
        </w:rPr>
        <w:t>Tretje varstveno območje narodnega parka</w:t>
      </w:r>
    </w:p>
    <w:p w:rsidR="0090490F" w:rsidRPr="0082440F" w:rsidRDefault="0090490F" w:rsidP="0090490F">
      <w:pPr>
        <w:ind w:left="708"/>
        <w:jc w:val="both"/>
        <w:rPr>
          <w:rFonts w:ascii="Arial" w:hAnsi="Arial" w:cs="Arial"/>
          <w:sz w:val="20"/>
        </w:rPr>
      </w:pPr>
      <w:r w:rsidRPr="0082440F">
        <w:rPr>
          <w:rFonts w:ascii="Arial" w:hAnsi="Arial" w:cs="Arial"/>
          <w:b/>
          <w:sz w:val="20"/>
        </w:rPr>
        <w:t>V tretjem varstvenem območju</w:t>
      </w:r>
      <w:r w:rsidRPr="0082440F">
        <w:rPr>
          <w:rFonts w:ascii="Arial" w:hAnsi="Arial" w:cs="Arial"/>
          <w:sz w:val="20"/>
        </w:rPr>
        <w:t xml:space="preserve"> Triglavskega narodnega parka je na vodotokih in stoječih vodah izvajanje turističnih, športnih ali rekreacijskih dejavnosti dopustno, in sicer </w:t>
      </w:r>
      <w:r w:rsidRPr="0082440F">
        <w:rPr>
          <w:rFonts w:ascii="Arial" w:hAnsi="Arial" w:cs="Arial"/>
          <w:b/>
          <w:sz w:val="20"/>
        </w:rPr>
        <w:t>na za to določenih mestih ter s soglasjem upravljavca narodnega parka</w:t>
      </w:r>
      <w:r w:rsidRPr="0082440F">
        <w:rPr>
          <w:rFonts w:ascii="Arial" w:hAnsi="Arial" w:cs="Arial"/>
          <w:sz w:val="20"/>
        </w:rPr>
        <w:t xml:space="preserve">. </w:t>
      </w:r>
    </w:p>
    <w:p w:rsidR="0090490F" w:rsidRPr="0082440F" w:rsidRDefault="0090490F" w:rsidP="0090490F">
      <w:pPr>
        <w:jc w:val="both"/>
        <w:rPr>
          <w:rFonts w:ascii="Arial" w:hAnsi="Arial" w:cs="Arial"/>
          <w:sz w:val="20"/>
        </w:rPr>
      </w:pPr>
    </w:p>
    <w:p w:rsidR="0090490F" w:rsidRPr="0082440F" w:rsidRDefault="0090490F" w:rsidP="0090490F">
      <w:pPr>
        <w:ind w:firstLine="708"/>
        <w:jc w:val="both"/>
        <w:rPr>
          <w:rFonts w:ascii="Arial" w:hAnsi="Arial" w:cs="Arial"/>
          <w:b/>
          <w:sz w:val="20"/>
        </w:rPr>
      </w:pPr>
      <w:r w:rsidRPr="0082440F">
        <w:rPr>
          <w:rFonts w:ascii="Arial" w:hAnsi="Arial" w:cs="Arial"/>
          <w:b/>
          <w:sz w:val="20"/>
        </w:rPr>
        <w:t>Ožja zavarovana območja znotraj območja narodnega parka</w:t>
      </w:r>
    </w:p>
    <w:p w:rsidR="0090490F" w:rsidRPr="0082440F" w:rsidRDefault="0090490F" w:rsidP="0090490F">
      <w:pPr>
        <w:ind w:left="708"/>
        <w:jc w:val="both"/>
        <w:rPr>
          <w:rFonts w:ascii="Arial" w:hAnsi="Arial" w:cs="Arial"/>
          <w:sz w:val="20"/>
        </w:rPr>
      </w:pPr>
      <w:r w:rsidRPr="0082440F">
        <w:rPr>
          <w:rFonts w:ascii="Arial" w:hAnsi="Arial" w:cs="Arial"/>
          <w:sz w:val="20"/>
        </w:rPr>
        <w:t xml:space="preserve">Ne glede na varstvene režime v vseh treh varstvenih območjih narodnega parka, velja prepoved izvajanja športno rekreacijskih dejavnosti v naslednjih ožjih zavarovanih območjih znotraj narodnega parka: </w:t>
      </w:r>
      <w:r w:rsidRPr="0082440F">
        <w:rPr>
          <w:rFonts w:ascii="Arial" w:hAnsi="Arial" w:cs="Arial"/>
          <w:b/>
          <w:sz w:val="20"/>
        </w:rPr>
        <w:t>Mala korita Koritnice, Soteska Koritnice in Klužka korita, Loška stena, Soča - korita Vrsnice, Trenta - Kloma, Tolminka - soteska in korita, Možnica - soteska, korita, slapovi in naravna mostova, Trenta - Mlinarica, Trenta - Zapotok, Zadlaščica</w:t>
      </w:r>
      <w:r w:rsidRPr="0082440F">
        <w:rPr>
          <w:rFonts w:ascii="Arial" w:hAnsi="Arial" w:cs="Arial"/>
          <w:sz w:val="20"/>
        </w:rPr>
        <w:t>.</w:t>
      </w:r>
    </w:p>
    <w:p w:rsidR="0090490F" w:rsidRDefault="0090490F" w:rsidP="0090490F">
      <w:pPr>
        <w:jc w:val="both"/>
        <w:rPr>
          <w:rFonts w:ascii="Arial" w:hAnsi="Arial" w:cs="Arial"/>
          <w:sz w:val="22"/>
          <w:szCs w:val="22"/>
        </w:rPr>
      </w:pPr>
    </w:p>
    <w:p w:rsidR="0090490F" w:rsidRDefault="0090490F" w:rsidP="0090490F">
      <w:pPr>
        <w:jc w:val="both"/>
        <w:rPr>
          <w:rFonts w:ascii="Arial" w:hAnsi="Arial" w:cs="Arial"/>
          <w:sz w:val="22"/>
          <w:szCs w:val="22"/>
        </w:rPr>
      </w:pPr>
    </w:p>
    <w:p w:rsidR="0090490F" w:rsidRPr="00E572C1" w:rsidRDefault="0090490F" w:rsidP="0090490F">
      <w:pPr>
        <w:jc w:val="both"/>
        <w:rPr>
          <w:rFonts w:ascii="Arial" w:hAnsi="Arial" w:cs="Arial"/>
          <w:b/>
          <w:sz w:val="22"/>
          <w:szCs w:val="22"/>
        </w:rPr>
      </w:pPr>
      <w:r w:rsidRPr="00E572C1">
        <w:rPr>
          <w:rFonts w:ascii="Arial" w:hAnsi="Arial" w:cs="Arial"/>
          <w:b/>
          <w:sz w:val="22"/>
          <w:szCs w:val="22"/>
        </w:rPr>
        <w:t>Soteskanje oz. canyoning</w:t>
      </w:r>
    </w:p>
    <w:p w:rsidR="0090490F" w:rsidRDefault="0090490F" w:rsidP="0090490F">
      <w:pPr>
        <w:jc w:val="both"/>
        <w:rPr>
          <w:rFonts w:ascii="Arial" w:hAnsi="Arial" w:cs="Arial"/>
          <w:sz w:val="22"/>
          <w:szCs w:val="22"/>
        </w:rPr>
      </w:pPr>
    </w:p>
    <w:p w:rsidR="0090490F" w:rsidRDefault="0090490F" w:rsidP="0090490F">
      <w:pPr>
        <w:jc w:val="both"/>
        <w:rPr>
          <w:rFonts w:ascii="Arial" w:hAnsi="Arial" w:cs="Arial"/>
          <w:sz w:val="22"/>
          <w:szCs w:val="22"/>
        </w:rPr>
      </w:pPr>
      <w:r>
        <w:rPr>
          <w:rFonts w:ascii="Arial" w:hAnsi="Arial" w:cs="Arial"/>
          <w:sz w:val="22"/>
          <w:szCs w:val="22"/>
        </w:rPr>
        <w:t xml:space="preserve">Soteskanje je na podlagi zgoraj navedenih omejitev izrecno prepovedano v prvem in drugem varstvenem območju ter v območju ožjih zavarovanih območij. Na podlagi preverjanja lokacij izvajanja dejavnosti soteskanja v tretjem varstvenem območju ter na podlagi presoje sprejemljivosti in vplivov izvajanja dejavnosti na cilje zavarovanega območja, je soteskanje po predhodno pridobljenem soglasju upravljavca narodnega parka dopustno na Predelnici, Fratarici in Jerečici.  </w:t>
      </w:r>
    </w:p>
    <w:p w:rsidR="001175D7" w:rsidRDefault="00322CF0" w:rsidP="00A03EE1">
      <w:pPr>
        <w:jc w:val="both"/>
      </w:pPr>
      <w:r w:rsidRPr="00886C45">
        <w:t xml:space="preserve"> </w:t>
      </w:r>
    </w:p>
    <w:sectPr w:rsidR="001175D7">
      <w:headerReference w:type="default" r:id="rId7"/>
      <w:footerReference w:type="default" r:id="rId8"/>
      <w:headerReference w:type="first" r:id="rId9"/>
      <w:footerReference w:type="first" r:id="rId10"/>
      <w:type w:val="continuous"/>
      <w:pgSz w:w="11907" w:h="16840" w:code="9"/>
      <w:pgMar w:top="2722" w:right="1418" w:bottom="1418" w:left="1418" w:header="708" w:footer="602"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DBB" w:rsidRDefault="009F4DBB">
      <w:r>
        <w:separator/>
      </w:r>
    </w:p>
  </w:endnote>
  <w:endnote w:type="continuationSeparator" w:id="1">
    <w:p w:rsidR="009F4DBB" w:rsidRDefault="009F4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B1" w:rsidRDefault="00F943B1">
    <w:pPr>
      <w:pStyle w:val="Noga"/>
      <w:jc w:val="center"/>
    </w:pPr>
    <w:r>
      <w:rPr>
        <w:rStyle w:val="tevilkastrani"/>
        <w:rFonts w:ascii="Arial" w:hAnsi="Arial"/>
        <w:sz w:val="18"/>
      </w:rPr>
      <w:fldChar w:fldCharType="begin"/>
    </w:r>
    <w:r>
      <w:rPr>
        <w:rStyle w:val="tevilkastrani"/>
        <w:rFonts w:ascii="Arial" w:hAnsi="Arial"/>
        <w:sz w:val="18"/>
      </w:rPr>
      <w:instrText xml:space="preserve"> PAGE </w:instrText>
    </w:r>
    <w:r>
      <w:rPr>
        <w:rStyle w:val="tevilkastrani"/>
        <w:rFonts w:ascii="Arial" w:hAnsi="Arial"/>
        <w:sz w:val="18"/>
      </w:rPr>
      <w:fldChar w:fldCharType="separate"/>
    </w:r>
    <w:r>
      <w:rPr>
        <w:rStyle w:val="tevilkastrani"/>
        <w:rFonts w:ascii="Arial" w:hAnsi="Arial"/>
        <w:sz w:val="18"/>
      </w:rPr>
      <w:t>2</w:t>
    </w:r>
    <w:r>
      <w:rPr>
        <w:rStyle w:val="tevilkastrani"/>
        <w:rFonts w:ascii="Arial" w:hAnsi="Arial"/>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B1" w:rsidRDefault="00F943B1">
    <w:pPr>
      <w:pStyle w:val="Noga"/>
      <w:jc w:val="center"/>
    </w:pPr>
    <w:r>
      <w:rPr>
        <w:noProof/>
      </w:rPr>
      <w:pict>
        <v:line id="_x0000_s2050" style="position:absolute;left:0;text-align:left;z-index:2" from="-70.8pt,-.2pt" to="526.85pt,-.15pt" o:allowincell="f" strokeweight=".5pt">
          <v:stroke startarrowwidth="narrow" startarrowlength="short" endarrowwidth="narrow" endarrowlength="short"/>
        </v:line>
      </w:pict>
    </w:r>
  </w:p>
  <w:p w:rsidR="00F943B1" w:rsidRDefault="00F943B1">
    <w:pPr>
      <w:pStyle w:val="Noga"/>
      <w:jc w:val="center"/>
      <w:rPr>
        <w:rFonts w:ascii="Arial" w:hAnsi="Arial"/>
        <w:sz w:val="18"/>
      </w:rPr>
    </w:pPr>
    <w:r w:rsidRPr="001425CC">
      <w:rPr>
        <w:rFonts w:ascii="Arial" w:hAnsi="Arial" w:cs="Arial"/>
        <w:sz w:val="18"/>
      </w:rPr>
      <w:t xml:space="preserve">SI-4260 Bled, p.p. 120, </w:t>
    </w:r>
    <w:r w:rsidRPr="001425CC">
      <w:rPr>
        <w:rFonts w:ascii="Arial" w:hAnsi="Arial" w:cs="Arial"/>
        <w:sz w:val="18"/>
        <w:szCs w:val="18"/>
      </w:rPr>
      <w:t>tel.</w:t>
    </w:r>
    <w:r>
      <w:rPr>
        <w:rFonts w:ascii="Arial" w:hAnsi="Arial" w:cs="Arial"/>
        <w:sz w:val="18"/>
        <w:szCs w:val="18"/>
      </w:rPr>
      <w:t xml:space="preserve"> +386(0)4 / 578 02 00, </w:t>
    </w:r>
    <w:r w:rsidRPr="001425CC">
      <w:rPr>
        <w:rFonts w:ascii="Arial" w:hAnsi="Arial" w:cs="Arial"/>
        <w:sz w:val="18"/>
        <w:szCs w:val="18"/>
      </w:rPr>
      <w:t>faks: +386(0)4 / 578 02 01</w:t>
    </w:r>
    <w:r w:rsidRPr="001425CC">
      <w:rPr>
        <w:rFonts w:ascii="Arial" w:hAnsi="Arial" w:cs="Arial"/>
        <w:sz w:val="18"/>
      </w:rPr>
      <w:t>,</w:t>
    </w:r>
    <w:r>
      <w:rPr>
        <w:rFonts w:ascii="Arial" w:hAnsi="Arial"/>
        <w:sz w:val="18"/>
      </w:rPr>
      <w:t xml:space="preserve"> </w:t>
    </w:r>
    <w:r>
      <w:rPr>
        <w:rFonts w:ascii="Arial" w:hAnsi="Arial" w:cs="Arial"/>
        <w:sz w:val="18"/>
        <w:szCs w:val="18"/>
      </w:rPr>
      <w:t>www.tnp.si</w:t>
    </w:r>
  </w:p>
  <w:p w:rsidR="00F943B1" w:rsidRDefault="00F943B1">
    <w:pPr>
      <w:pStyle w:val="Noga"/>
      <w:jc w:val="center"/>
    </w:pPr>
    <w:r>
      <w:rPr>
        <w:rFonts w:ascii="Arial" w:hAnsi="Arial"/>
        <w:sz w:val="18"/>
      </w:rPr>
      <w:t>triglavski-na</w:t>
    </w:r>
    <w:r w:rsidR="002F56DA">
      <w:rPr>
        <w:rFonts w:ascii="Arial" w:hAnsi="Arial"/>
        <w:sz w:val="18"/>
      </w:rPr>
      <w:t>rodni-park@tnp.gov.si, IBAN: SI</w:t>
    </w:r>
    <w:r>
      <w:rPr>
        <w:rFonts w:ascii="Arial" w:hAnsi="Arial"/>
        <w:sz w:val="18"/>
      </w:rPr>
      <w:t>56 0110 0603 0254 226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DBB" w:rsidRDefault="009F4DBB">
      <w:r>
        <w:separator/>
      </w:r>
    </w:p>
  </w:footnote>
  <w:footnote w:type="continuationSeparator" w:id="1">
    <w:p w:rsidR="009F4DBB" w:rsidRDefault="009F4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B1" w:rsidRDefault="00F943B1">
    <w:pPr>
      <w:pStyle w:val="Glava"/>
      <w:jc w:val="center"/>
      <w:rPr>
        <w:rFonts w:ascii="Arial" w:hAnsi="Arial"/>
        <w:sz w:val="18"/>
      </w:rPr>
    </w:pPr>
    <w:r>
      <w:rPr>
        <w:rFonts w:ascii="Arial" w:hAnsi="Arial"/>
        <w:sz w:val="18"/>
      </w:rPr>
      <w:t>TRIGLAVSKI NARODNI PARK - TRIGLAV NATIONAL PARK</w:t>
    </w:r>
  </w:p>
  <w:p w:rsidR="00F943B1" w:rsidRDefault="00F943B1">
    <w:pPr>
      <w:pStyle w:val="Glava"/>
      <w:jc w:val="center"/>
    </w:pPr>
  </w:p>
  <w:p w:rsidR="00F943B1" w:rsidRDefault="00F943B1">
    <w:pPr>
      <w:pStyle w:val="Glava"/>
    </w:pPr>
    <w:r>
      <w:rPr>
        <w:noProof/>
      </w:rPr>
      <w:pict>
        <v:line id="_x0000_s2051" style="position:absolute;z-index:3" from="-70.8pt,-.2pt" to="526.85pt,-.15pt" o:allowincell="f" strokeweight=".5pt">
          <v:stroke startarrowwidth="narrow" startarrowlength="short" endarrowwidth="narrow" endarrowlength="short"/>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B1" w:rsidRDefault="00F943B1">
    <w:pPr>
      <w:pStyle w:val="Glav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5pt;height:60.5pt">
          <v:imagedata r:id="rId1" o:title="tnp_glava_dopisa_2006"/>
        </v:shape>
      </w:pict>
    </w:r>
  </w:p>
  <w:p w:rsidR="00F943B1" w:rsidRDefault="00F943B1">
    <w:pPr>
      <w:pStyle w:val="Glava"/>
    </w:pPr>
    <w:r>
      <w:rPr>
        <w:noProof/>
      </w:rPr>
      <w:pict>
        <v:line id="_x0000_s2049" style="position:absolute;z-index:1;mso-position-horizontal-relative:margin;mso-position-vertical-relative:margin" from="-70.9pt,-24.25pt" to="526.75pt,-24.2pt" o:allowincell="f" strokeweight=".5pt">
          <v:stroke startarrowwidth="narrow" startarrowlength="short" endarrowwidth="narrow" endarrowlength="short"/>
          <w10:wrap anchorx="margin" anchory="margin"/>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52DA"/>
    <w:rsid w:val="00061EEC"/>
    <w:rsid w:val="00090BAB"/>
    <w:rsid w:val="000A49E9"/>
    <w:rsid w:val="001175D7"/>
    <w:rsid w:val="001219A3"/>
    <w:rsid w:val="001425CC"/>
    <w:rsid w:val="00162343"/>
    <w:rsid w:val="001E2BE1"/>
    <w:rsid w:val="001F6CC6"/>
    <w:rsid w:val="002F56DA"/>
    <w:rsid w:val="00322CF0"/>
    <w:rsid w:val="003652DA"/>
    <w:rsid w:val="003C589A"/>
    <w:rsid w:val="003C65F8"/>
    <w:rsid w:val="00400A47"/>
    <w:rsid w:val="00555063"/>
    <w:rsid w:val="005570BC"/>
    <w:rsid w:val="00594DD3"/>
    <w:rsid w:val="005A5343"/>
    <w:rsid w:val="006000EB"/>
    <w:rsid w:val="007129FB"/>
    <w:rsid w:val="00783F04"/>
    <w:rsid w:val="007F58FE"/>
    <w:rsid w:val="0090490F"/>
    <w:rsid w:val="00974F80"/>
    <w:rsid w:val="009F4DBB"/>
    <w:rsid w:val="00A03EE1"/>
    <w:rsid w:val="00B65961"/>
    <w:rsid w:val="00B73A23"/>
    <w:rsid w:val="00BC5BA9"/>
    <w:rsid w:val="00DA4075"/>
    <w:rsid w:val="00DE4986"/>
    <w:rsid w:val="00E54D1C"/>
    <w:rsid w:val="00F323A1"/>
    <w:rsid w:val="00F8102B"/>
    <w:rsid w:val="00F943B1"/>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tabs>
        <w:tab w:val="left" w:pos="567"/>
      </w:tabs>
    </w:pPr>
    <w:rPr>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pPr>
      <w:tabs>
        <w:tab w:val="center" w:pos="4703"/>
        <w:tab w:val="right" w:pos="9406"/>
      </w:tabs>
    </w:pPr>
  </w:style>
  <w:style w:type="paragraph" w:styleId="Noga">
    <w:name w:val="footer"/>
    <w:basedOn w:val="Navaden"/>
    <w:pPr>
      <w:tabs>
        <w:tab w:val="center" w:pos="4703"/>
        <w:tab w:val="right" w:pos="9406"/>
      </w:tabs>
    </w:pPr>
  </w:style>
  <w:style w:type="character" w:styleId="tevilkastrani">
    <w:name w:val="page number"/>
    <w:basedOn w:val="Privzetapisavaodstavka"/>
  </w:style>
  <w:style w:type="paragraph" w:customStyle="1" w:styleId="Slog1">
    <w:name w:val="Slog1"/>
    <w:basedOn w:val="Navaden"/>
    <w:pPr>
      <w:spacing w:before="60"/>
    </w:pPr>
  </w:style>
  <w:style w:type="character" w:styleId="Hiperpovezava">
    <w:name w:val="Hyperlink"/>
    <w:basedOn w:val="Privzetapisavaodstavka"/>
    <w:rsid w:val="009049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radni-list.si/1/objava.jsp?urlid=201052&amp;stevilka=282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orkoli\AppData\Local\Temp\Temp2_predloge.zip\predloge\A-dopis%20samo%20z%20glavo200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A-dopis samo z glavo2007</Template>
  <TotalTime>1</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tnp</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kdorkoli</dc:creator>
  <cp:lastModifiedBy>Aleš Zdešar</cp:lastModifiedBy>
  <cp:revision>2</cp:revision>
  <cp:lastPrinted>2004-06-09T09:02:00Z</cp:lastPrinted>
  <dcterms:created xsi:type="dcterms:W3CDTF">2011-07-01T07:34:00Z</dcterms:created>
  <dcterms:modified xsi:type="dcterms:W3CDTF">2011-07-01T07:34:00Z</dcterms:modified>
</cp:coreProperties>
</file>